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F7991" w14:textId="6838981F" w:rsidR="00D94FB8" w:rsidRPr="001915EC" w:rsidRDefault="00D94FB8" w:rsidP="00275D27">
      <w:pPr>
        <w:pStyle w:val="Title"/>
        <w:jc w:val="center"/>
        <w:rPr>
          <w:rFonts w:cs="Times New Roman (Headings CS)"/>
          <w:b/>
          <w:bCs/>
          <w:color w:val="185584"/>
          <w:sz w:val="56"/>
          <w:szCs w:val="44"/>
        </w:rPr>
      </w:pPr>
      <w:r w:rsidRPr="001915EC">
        <w:rPr>
          <w:rFonts w:cs="Times New Roman (Headings CS)"/>
          <w:b/>
          <w:bCs/>
          <w:color w:val="185584"/>
          <w:sz w:val="56"/>
          <w:szCs w:val="44"/>
        </w:rPr>
        <w:t>Home Health Access for Rural Coloradoans with Medicar</w:t>
      </w:r>
      <w:r w:rsidR="001915EC" w:rsidRPr="001915EC">
        <w:rPr>
          <w:rFonts w:cs="Times New Roman (Headings CS)"/>
          <w:b/>
          <w:bCs/>
          <w:color w:val="185584"/>
          <w:sz w:val="56"/>
          <w:szCs w:val="44"/>
        </w:rPr>
        <w:t>e</w:t>
      </w:r>
    </w:p>
    <w:p w14:paraId="69C51413" w14:textId="738BB414" w:rsidR="00D94FB8" w:rsidRPr="003F1FFE" w:rsidRDefault="00D94FB8" w:rsidP="00D94FB8">
      <w:pPr>
        <w:pStyle w:val="Heading1"/>
        <w:rPr>
          <w:color w:val="1D99A0" w:themeColor="accent3" w:themeShade="BF"/>
          <w:sz w:val="36"/>
          <w:szCs w:val="32"/>
        </w:rPr>
      </w:pPr>
      <w:r w:rsidRPr="003F1FFE">
        <w:rPr>
          <w:color w:val="1D99A0" w:themeColor="accent3" w:themeShade="BF"/>
          <w:sz w:val="36"/>
          <w:szCs w:val="32"/>
        </w:rPr>
        <w:t>Aim:</w:t>
      </w:r>
    </w:p>
    <w:p w14:paraId="223C6DE6" w14:textId="7BAAA680" w:rsidR="007A1C7B" w:rsidRPr="00CB29C8" w:rsidRDefault="00066188" w:rsidP="00DE237C">
      <w:pPr>
        <w:pStyle w:val="ListParagraph"/>
        <w:numPr>
          <w:ilvl w:val="0"/>
          <w:numId w:val="1"/>
        </w:numPr>
        <w:jc w:val="both"/>
        <w:rPr>
          <w:color w:val="1D99A0" w:themeColor="accent3" w:themeShade="BF"/>
          <w:sz w:val="24"/>
          <w:szCs w:val="28"/>
        </w:rPr>
      </w:pPr>
      <w:r w:rsidRPr="00CB29C8">
        <w:rPr>
          <w:color w:val="1D99A0" w:themeColor="accent3" w:themeShade="BF"/>
          <w:sz w:val="24"/>
          <w:szCs w:val="28"/>
        </w:rPr>
        <w:t>Increased access to high-quality home health services for rural Medicare beneficiaries</w:t>
      </w:r>
      <w:r w:rsidR="008D2982" w:rsidRPr="00CB29C8">
        <w:rPr>
          <w:color w:val="1D99A0" w:themeColor="accent3" w:themeShade="BF"/>
          <w:sz w:val="24"/>
          <w:szCs w:val="28"/>
        </w:rPr>
        <w:t xml:space="preserve"> in Colorado.</w:t>
      </w:r>
    </w:p>
    <w:p w14:paraId="760B17BC" w14:textId="5CC2671F" w:rsidR="007576E3" w:rsidRPr="00CB29C8" w:rsidRDefault="004D6806" w:rsidP="00DE237C">
      <w:pPr>
        <w:pStyle w:val="ListParagraph"/>
        <w:numPr>
          <w:ilvl w:val="0"/>
          <w:numId w:val="1"/>
        </w:numPr>
        <w:jc w:val="both"/>
        <w:rPr>
          <w:color w:val="1D99A0" w:themeColor="accent3" w:themeShade="BF"/>
          <w:sz w:val="24"/>
          <w:szCs w:val="28"/>
        </w:rPr>
      </w:pPr>
      <w:r w:rsidRPr="00CB29C8">
        <w:rPr>
          <w:color w:val="1D99A0" w:themeColor="accent3" w:themeShade="BF"/>
          <w:sz w:val="24"/>
          <w:szCs w:val="28"/>
        </w:rPr>
        <w:t>“Almost 1 in 4 Medicare Beneficiaries reside in rural areas, yet they face barriers to healthcare access” (Gozalo et al., 2020</w:t>
      </w:r>
      <w:r w:rsidR="007576E3" w:rsidRPr="00CB29C8">
        <w:rPr>
          <w:color w:val="1D99A0" w:themeColor="accent3" w:themeShade="BF"/>
          <w:sz w:val="24"/>
          <w:szCs w:val="28"/>
        </w:rPr>
        <w:t>, p. 663)</w:t>
      </w:r>
      <w:r w:rsidR="008D2982" w:rsidRPr="00CB29C8">
        <w:rPr>
          <w:color w:val="1D99A0" w:themeColor="accent3" w:themeShade="BF"/>
          <w:sz w:val="24"/>
          <w:szCs w:val="28"/>
        </w:rPr>
        <w:t>.</w:t>
      </w:r>
    </w:p>
    <w:p w14:paraId="3F536337" w14:textId="0AC33FEE" w:rsidR="00AD5FAE" w:rsidRPr="00CB29C8" w:rsidRDefault="008D2982" w:rsidP="00DE237C">
      <w:pPr>
        <w:pStyle w:val="ListParagraph"/>
        <w:numPr>
          <w:ilvl w:val="0"/>
          <w:numId w:val="1"/>
        </w:numPr>
        <w:jc w:val="both"/>
        <w:rPr>
          <w:color w:val="1D99A0" w:themeColor="accent3" w:themeShade="BF"/>
          <w:sz w:val="24"/>
          <w:szCs w:val="28"/>
        </w:rPr>
      </w:pPr>
      <w:r w:rsidRPr="00CB29C8">
        <w:rPr>
          <w:color w:val="1D99A0" w:themeColor="accent3" w:themeShade="BF"/>
          <w:sz w:val="24"/>
          <w:szCs w:val="28"/>
        </w:rPr>
        <w:t>47 out of the 64 counties are</w:t>
      </w:r>
      <w:r w:rsidR="0046311C" w:rsidRPr="00CB29C8">
        <w:rPr>
          <w:color w:val="1D99A0" w:themeColor="accent3" w:themeShade="BF"/>
          <w:sz w:val="24"/>
          <w:szCs w:val="28"/>
        </w:rPr>
        <w:t xml:space="preserve"> designated as</w:t>
      </w:r>
      <w:r w:rsidRPr="00CB29C8">
        <w:rPr>
          <w:color w:val="1D99A0" w:themeColor="accent3" w:themeShade="BF"/>
          <w:sz w:val="24"/>
          <w:szCs w:val="28"/>
        </w:rPr>
        <w:t xml:space="preserve"> rural</w:t>
      </w:r>
      <w:r w:rsidR="0046311C" w:rsidRPr="00CB29C8">
        <w:rPr>
          <w:color w:val="1D99A0" w:themeColor="accent3" w:themeShade="BF"/>
          <w:sz w:val="24"/>
          <w:szCs w:val="28"/>
        </w:rPr>
        <w:t xml:space="preserve"> or frontier (&lt;6 people per square mile)</w:t>
      </w:r>
      <w:r w:rsidRPr="00CB29C8">
        <w:rPr>
          <w:color w:val="1D99A0" w:themeColor="accent3" w:themeShade="BF"/>
          <w:sz w:val="24"/>
          <w:szCs w:val="28"/>
        </w:rPr>
        <w:t xml:space="preserve"> (</w:t>
      </w:r>
      <w:r w:rsidR="00465ED3" w:rsidRPr="00CB29C8">
        <w:rPr>
          <w:color w:val="1D99A0" w:themeColor="accent3" w:themeShade="BF"/>
          <w:sz w:val="24"/>
          <w:szCs w:val="28"/>
        </w:rPr>
        <w:t>Colorado Rural Health Center, 2022).</w:t>
      </w:r>
    </w:p>
    <w:p w14:paraId="4ED263C0" w14:textId="77777777" w:rsidR="0036686C" w:rsidRDefault="0036686C" w:rsidP="00AD5FAE">
      <w:pPr>
        <w:pStyle w:val="ListParagraph"/>
        <w:ind w:firstLine="0"/>
        <w:rPr>
          <w:color w:val="1D99A0" w:themeColor="accent3" w:themeShade="BF"/>
        </w:rPr>
      </w:pPr>
    </w:p>
    <w:p w14:paraId="3E0B79CA" w14:textId="69D0431A" w:rsidR="007A1C7B" w:rsidRDefault="00A23E00" w:rsidP="00AD5FAE">
      <w:pPr>
        <w:pStyle w:val="ListParagraph"/>
        <w:ind w:firstLine="0"/>
        <w:rPr>
          <w:color w:val="1D99A0" w:themeColor="accent3" w:themeShade="BF"/>
        </w:rPr>
      </w:pPr>
      <w:r>
        <w:rPr>
          <w:noProof/>
          <w:color w:val="27CED7" w:themeColor="accent3"/>
        </w:rPr>
        <w:drawing>
          <wp:inline distT="0" distB="0" distL="0" distR="0" wp14:anchorId="75AB1CBA" wp14:editId="4A1A148F">
            <wp:extent cx="2766447" cy="1789914"/>
            <wp:effectExtent l="0" t="0" r="2540" b="1270"/>
            <wp:docPr id="5" name="Picture 5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engineering drawing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6447" cy="1789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5FAE">
        <w:rPr>
          <w:noProof/>
          <w:color w:val="27CED7" w:themeColor="accent3"/>
        </w:rPr>
        <w:drawing>
          <wp:inline distT="0" distB="0" distL="0" distR="0" wp14:anchorId="2D158E17" wp14:editId="1CC644EA">
            <wp:extent cx="2704351" cy="1781810"/>
            <wp:effectExtent l="0" t="0" r="127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4351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47EDA" w14:textId="000AE793" w:rsidR="0092490B" w:rsidRDefault="0092490B" w:rsidP="00AD5FAE">
      <w:pPr>
        <w:pStyle w:val="ListParagraph"/>
        <w:ind w:firstLine="0"/>
        <w:rPr>
          <w:color w:val="1D99A0" w:themeColor="accent3" w:themeShade="BF"/>
          <w:sz w:val="16"/>
          <w:szCs w:val="18"/>
        </w:rPr>
      </w:pPr>
      <w:r>
        <w:rPr>
          <w:color w:val="1D99A0" w:themeColor="accent3" w:themeShade="BF"/>
          <w:sz w:val="16"/>
          <w:szCs w:val="18"/>
        </w:rPr>
        <w:t>County Designations: White = Urban; Light blue = Rural; Dark Blue = Frontier</w:t>
      </w:r>
    </w:p>
    <w:p w14:paraId="63BFE513" w14:textId="787ACE97" w:rsidR="00AD5FAE" w:rsidRDefault="00665F09" w:rsidP="00AD5FAE">
      <w:pPr>
        <w:pStyle w:val="ListParagraph"/>
        <w:ind w:firstLine="0"/>
        <w:rPr>
          <w:color w:val="1D99A0" w:themeColor="accent3" w:themeShade="BF"/>
          <w:sz w:val="16"/>
          <w:szCs w:val="18"/>
        </w:rPr>
      </w:pPr>
      <w:r w:rsidRPr="00665F09">
        <w:rPr>
          <w:color w:val="1D99A0" w:themeColor="accent3" w:themeShade="BF"/>
          <w:sz w:val="16"/>
          <w:szCs w:val="18"/>
        </w:rPr>
        <w:t>Maps from: https://coruralhealth.org/resources/maps-resource</w:t>
      </w:r>
    </w:p>
    <w:p w14:paraId="64DA7655" w14:textId="77777777" w:rsidR="00665F09" w:rsidRDefault="00665F09" w:rsidP="00AD5FAE">
      <w:pPr>
        <w:pStyle w:val="ListParagraph"/>
        <w:ind w:firstLine="0"/>
        <w:rPr>
          <w:color w:val="1D99A0" w:themeColor="accent3" w:themeShade="BF"/>
        </w:rPr>
      </w:pPr>
    </w:p>
    <w:p w14:paraId="04AADC2B" w14:textId="38B0ED60" w:rsidR="008D2982" w:rsidRPr="00CB29C8" w:rsidRDefault="00465ED3" w:rsidP="00DE237C">
      <w:pPr>
        <w:pStyle w:val="ListParagraph"/>
        <w:numPr>
          <w:ilvl w:val="0"/>
          <w:numId w:val="1"/>
        </w:numPr>
        <w:jc w:val="both"/>
        <w:rPr>
          <w:color w:val="1D99A0" w:themeColor="accent3" w:themeShade="BF"/>
          <w:sz w:val="24"/>
          <w:szCs w:val="28"/>
        </w:rPr>
      </w:pPr>
      <w:r w:rsidRPr="00CB29C8">
        <w:rPr>
          <w:color w:val="1D99A0" w:themeColor="accent3" w:themeShade="BF"/>
          <w:sz w:val="24"/>
          <w:szCs w:val="28"/>
        </w:rPr>
        <w:t>21% of</w:t>
      </w:r>
      <w:r w:rsidR="0046311C" w:rsidRPr="00CB29C8">
        <w:rPr>
          <w:color w:val="1D99A0" w:themeColor="accent3" w:themeShade="BF"/>
          <w:sz w:val="24"/>
          <w:szCs w:val="28"/>
        </w:rPr>
        <w:t xml:space="preserve"> the</w:t>
      </w:r>
      <w:r w:rsidRPr="00CB29C8">
        <w:rPr>
          <w:color w:val="1D99A0" w:themeColor="accent3" w:themeShade="BF"/>
          <w:sz w:val="24"/>
          <w:szCs w:val="28"/>
        </w:rPr>
        <w:t xml:space="preserve"> rural population is over 65 years of age (Colorado Rural Health Center, 2022).</w:t>
      </w:r>
    </w:p>
    <w:p w14:paraId="1671CD4A" w14:textId="1664835F" w:rsidR="00D94FB8" w:rsidRDefault="00D94FB8" w:rsidP="00D94FB8">
      <w:pPr>
        <w:pStyle w:val="Heading1"/>
        <w:rPr>
          <w:color w:val="1D99A0" w:themeColor="accent3" w:themeShade="BF"/>
          <w:sz w:val="36"/>
          <w:szCs w:val="32"/>
        </w:rPr>
      </w:pPr>
      <w:r w:rsidRPr="003F1FFE">
        <w:rPr>
          <w:color w:val="1D99A0" w:themeColor="accent3" w:themeShade="BF"/>
          <w:sz w:val="36"/>
          <w:szCs w:val="32"/>
        </w:rPr>
        <w:t>Problem:</w:t>
      </w:r>
    </w:p>
    <w:p w14:paraId="7FE3DECC" w14:textId="22649906" w:rsidR="00ED0958" w:rsidRPr="00F47ECE" w:rsidRDefault="00ED0958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4"/>
        </w:rPr>
      </w:pPr>
      <w:r w:rsidRPr="00F47ECE">
        <w:rPr>
          <w:color w:val="1D99A0" w:themeColor="accent3" w:themeShade="BF"/>
          <w:sz w:val="24"/>
          <w:szCs w:val="24"/>
        </w:rPr>
        <w:t>In the U.S., “94 percent of counties with no home health agencies were rural” (Frogner et al., 2020, p.953).</w:t>
      </w:r>
    </w:p>
    <w:p w14:paraId="4461ACE9" w14:textId="3A7132E3" w:rsidR="00ED0958" w:rsidRDefault="00F47ECE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4"/>
        </w:rPr>
      </w:pPr>
      <w:r w:rsidRPr="00F47ECE">
        <w:rPr>
          <w:color w:val="1D99A0" w:themeColor="accent3" w:themeShade="BF"/>
          <w:sz w:val="24"/>
          <w:szCs w:val="24"/>
        </w:rPr>
        <w:t>Medicare beneficiaries living in rural areas are more ill and at a higher risk for hospitalizations than those living in urban areas</w:t>
      </w:r>
      <w:r w:rsidR="002B3BE1">
        <w:rPr>
          <w:color w:val="1D99A0" w:themeColor="accent3" w:themeShade="BF"/>
          <w:sz w:val="24"/>
          <w:szCs w:val="24"/>
        </w:rPr>
        <w:t xml:space="preserve"> (Frogner et al., 2020)</w:t>
      </w:r>
      <w:r w:rsidRPr="00F47ECE">
        <w:rPr>
          <w:color w:val="1D99A0" w:themeColor="accent3" w:themeShade="BF"/>
          <w:sz w:val="24"/>
          <w:szCs w:val="24"/>
        </w:rPr>
        <w:t>.</w:t>
      </w:r>
    </w:p>
    <w:p w14:paraId="3D6DD35A" w14:textId="2E202133" w:rsidR="00F47ECE" w:rsidRDefault="00DC61C1" w:rsidP="00DE237C">
      <w:pPr>
        <w:pStyle w:val="ListParagraph"/>
        <w:numPr>
          <w:ilvl w:val="1"/>
          <w:numId w:val="2"/>
        </w:numPr>
        <w:jc w:val="both"/>
        <w:rPr>
          <w:color w:val="1D99A0" w:themeColor="accent3" w:themeShade="BF"/>
          <w:sz w:val="24"/>
          <w:szCs w:val="24"/>
        </w:rPr>
      </w:pPr>
      <w:r w:rsidRPr="00665F09">
        <w:rPr>
          <w:color w:val="1D99A0" w:themeColor="accent3" w:themeShade="BF"/>
          <w:sz w:val="22"/>
        </w:rPr>
        <w:t>A recent stud</w:t>
      </w:r>
      <w:r w:rsidR="002412F7" w:rsidRPr="00665F09">
        <w:rPr>
          <w:color w:val="1D99A0" w:themeColor="accent3" w:themeShade="BF"/>
          <w:sz w:val="22"/>
        </w:rPr>
        <w:t>y</w:t>
      </w:r>
      <w:r w:rsidRPr="00665F09">
        <w:rPr>
          <w:color w:val="1D99A0" w:themeColor="accent3" w:themeShade="BF"/>
          <w:sz w:val="22"/>
        </w:rPr>
        <w:t xml:space="preserve"> showed</w:t>
      </w:r>
      <w:r w:rsidR="00F47ECE" w:rsidRPr="00665F09">
        <w:rPr>
          <w:color w:val="1D99A0" w:themeColor="accent3" w:themeShade="BF"/>
          <w:sz w:val="22"/>
        </w:rPr>
        <w:t xml:space="preserve"> that rural Medicare beneficiaries using home health had lower rates of hospitalization</w:t>
      </w:r>
      <w:r w:rsidRPr="00665F09">
        <w:rPr>
          <w:color w:val="1D99A0" w:themeColor="accent3" w:themeShade="BF"/>
          <w:sz w:val="22"/>
        </w:rPr>
        <w:t xml:space="preserve"> (Chen et al., 2020)</w:t>
      </w:r>
      <w:r w:rsidR="00F47ECE" w:rsidRPr="00665F09">
        <w:rPr>
          <w:color w:val="1D99A0" w:themeColor="accent3" w:themeShade="BF"/>
          <w:sz w:val="22"/>
        </w:rPr>
        <w:t>.</w:t>
      </w:r>
    </w:p>
    <w:p w14:paraId="390CB028" w14:textId="053A39CA" w:rsidR="00F47ECE" w:rsidRDefault="0049038E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4"/>
        </w:rPr>
      </w:pPr>
      <w:r>
        <w:rPr>
          <w:color w:val="1D99A0" w:themeColor="accent3" w:themeShade="BF"/>
          <w:sz w:val="24"/>
          <w:szCs w:val="24"/>
        </w:rPr>
        <w:t>To increase access to home health services for Medicare beneficiaries in rural areas</w:t>
      </w:r>
      <w:r w:rsidR="00023D40">
        <w:rPr>
          <w:color w:val="1D99A0" w:themeColor="accent3" w:themeShade="BF"/>
          <w:sz w:val="24"/>
          <w:szCs w:val="24"/>
        </w:rPr>
        <w:t>,</w:t>
      </w:r>
      <w:r w:rsidR="00DC259F">
        <w:rPr>
          <w:color w:val="1D99A0" w:themeColor="accent3" w:themeShade="BF"/>
          <w:sz w:val="24"/>
          <w:szCs w:val="24"/>
        </w:rPr>
        <w:t xml:space="preserve"> </w:t>
      </w:r>
      <w:r w:rsidR="00DC259F">
        <w:rPr>
          <w:color w:val="1D99A0" w:themeColor="accent3" w:themeShade="BF"/>
          <w:sz w:val="24"/>
          <w:szCs w:val="28"/>
        </w:rPr>
        <w:t>The Centers for Medicare and Medicaid Services</w:t>
      </w:r>
      <w:r>
        <w:rPr>
          <w:color w:val="1D99A0" w:themeColor="accent3" w:themeShade="BF"/>
          <w:sz w:val="24"/>
          <w:szCs w:val="24"/>
        </w:rPr>
        <w:t xml:space="preserve"> </w:t>
      </w:r>
      <w:r w:rsidR="00DC259F">
        <w:rPr>
          <w:color w:val="1D99A0" w:themeColor="accent3" w:themeShade="BF"/>
          <w:sz w:val="24"/>
          <w:szCs w:val="24"/>
        </w:rPr>
        <w:t>(</w:t>
      </w:r>
      <w:r>
        <w:rPr>
          <w:color w:val="1D99A0" w:themeColor="accent3" w:themeShade="BF"/>
          <w:sz w:val="24"/>
          <w:szCs w:val="24"/>
        </w:rPr>
        <w:t>CMS</w:t>
      </w:r>
      <w:r w:rsidR="00DC259F">
        <w:rPr>
          <w:color w:val="1D99A0" w:themeColor="accent3" w:themeShade="BF"/>
          <w:sz w:val="24"/>
          <w:szCs w:val="24"/>
        </w:rPr>
        <w:t>)</w:t>
      </w:r>
      <w:r w:rsidR="00BD156D">
        <w:rPr>
          <w:color w:val="1D99A0" w:themeColor="accent3" w:themeShade="BF"/>
          <w:sz w:val="24"/>
          <w:szCs w:val="24"/>
        </w:rPr>
        <w:t xml:space="preserve"> started the rural add-on payments.</w:t>
      </w:r>
    </w:p>
    <w:p w14:paraId="5C54708C" w14:textId="4268277A" w:rsidR="00BD156D" w:rsidRPr="00665F09" w:rsidRDefault="00DC61C1" w:rsidP="00DE237C">
      <w:pPr>
        <w:pStyle w:val="ListParagraph"/>
        <w:numPr>
          <w:ilvl w:val="1"/>
          <w:numId w:val="2"/>
        </w:numPr>
        <w:jc w:val="both"/>
        <w:rPr>
          <w:color w:val="1D99A0" w:themeColor="accent3" w:themeShade="BF"/>
          <w:sz w:val="22"/>
        </w:rPr>
      </w:pPr>
      <w:r w:rsidRPr="00665F09">
        <w:rPr>
          <w:color w:val="1D99A0" w:themeColor="accent3" w:themeShade="BF"/>
          <w:sz w:val="22"/>
        </w:rPr>
        <w:t xml:space="preserve">A study done </w:t>
      </w:r>
      <w:r w:rsidR="002412F7" w:rsidRPr="00665F09">
        <w:rPr>
          <w:color w:val="1D99A0" w:themeColor="accent3" w:themeShade="BF"/>
          <w:sz w:val="22"/>
        </w:rPr>
        <w:t>in 2020</w:t>
      </w:r>
      <w:r w:rsidRPr="00665F09">
        <w:rPr>
          <w:color w:val="1D99A0" w:themeColor="accent3" w:themeShade="BF"/>
          <w:sz w:val="22"/>
        </w:rPr>
        <w:t xml:space="preserve"> demonstrated the positive effect of the CMS rural add-on payments. Utilization increased by 0.8% for rural beneficiaries</w:t>
      </w:r>
      <w:r w:rsidR="002412F7" w:rsidRPr="00665F09">
        <w:rPr>
          <w:color w:val="1D99A0" w:themeColor="accent3" w:themeShade="BF"/>
          <w:sz w:val="22"/>
        </w:rPr>
        <w:t xml:space="preserve"> (Gozalo et al., 2020)</w:t>
      </w:r>
      <w:r w:rsidRPr="00665F09">
        <w:rPr>
          <w:color w:val="1D99A0" w:themeColor="accent3" w:themeShade="BF"/>
          <w:sz w:val="22"/>
        </w:rPr>
        <w:t>.</w:t>
      </w:r>
    </w:p>
    <w:p w14:paraId="7D1B752F" w14:textId="3A49A122" w:rsidR="002412F7" w:rsidRPr="00665F09" w:rsidRDefault="002412F7" w:rsidP="00DE237C">
      <w:pPr>
        <w:pStyle w:val="ListParagraph"/>
        <w:numPr>
          <w:ilvl w:val="1"/>
          <w:numId w:val="2"/>
        </w:numPr>
        <w:jc w:val="both"/>
        <w:rPr>
          <w:color w:val="1D99A0" w:themeColor="accent3" w:themeShade="BF"/>
          <w:sz w:val="22"/>
        </w:rPr>
      </w:pPr>
      <w:r w:rsidRPr="00665F09">
        <w:rPr>
          <w:color w:val="1D99A0" w:themeColor="accent3" w:themeShade="BF"/>
          <w:sz w:val="22"/>
        </w:rPr>
        <w:lastRenderedPageBreak/>
        <w:t xml:space="preserve">Another recent study showed that </w:t>
      </w:r>
      <w:r w:rsidR="004C776F" w:rsidRPr="00665F09">
        <w:rPr>
          <w:color w:val="1D99A0" w:themeColor="accent3" w:themeShade="BF"/>
          <w:sz w:val="22"/>
        </w:rPr>
        <w:t>rural add-on payments greater than 5% were needed for home health agencies to maintain and/or increase services to rural Medicare beneficiaries (Frogner et al., 2020).</w:t>
      </w:r>
    </w:p>
    <w:p w14:paraId="1DCF6AE1" w14:textId="3D4FA67C" w:rsidR="00571161" w:rsidRPr="00CB29C8" w:rsidRDefault="00571161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8"/>
        </w:rPr>
      </w:pPr>
      <w:r>
        <w:rPr>
          <w:color w:val="1D99A0" w:themeColor="accent3" w:themeShade="BF"/>
          <w:sz w:val="24"/>
          <w:szCs w:val="28"/>
        </w:rPr>
        <w:t>CMS</w:t>
      </w:r>
      <w:r w:rsidRPr="00CB29C8">
        <w:rPr>
          <w:color w:val="1D99A0" w:themeColor="accent3" w:themeShade="BF"/>
          <w:sz w:val="24"/>
          <w:szCs w:val="28"/>
        </w:rPr>
        <w:t xml:space="preserve"> rural add-on payments to home health care agencies serving Medicare beneficiaries are ending this year (Chen et al., 2020). </w:t>
      </w:r>
    </w:p>
    <w:p w14:paraId="417E1A9A" w14:textId="4A601100" w:rsidR="00571161" w:rsidRPr="00665F09" w:rsidRDefault="00571161" w:rsidP="00DE237C">
      <w:pPr>
        <w:pStyle w:val="ListParagraph"/>
        <w:numPr>
          <w:ilvl w:val="1"/>
          <w:numId w:val="2"/>
        </w:numPr>
        <w:jc w:val="both"/>
        <w:rPr>
          <w:color w:val="1D99A0" w:themeColor="accent3" w:themeShade="BF"/>
          <w:sz w:val="22"/>
          <w:szCs w:val="24"/>
        </w:rPr>
      </w:pPr>
      <w:r w:rsidRPr="00665F09">
        <w:rPr>
          <w:color w:val="1D99A0" w:themeColor="accent3" w:themeShade="BF"/>
          <w:sz w:val="22"/>
          <w:szCs w:val="24"/>
        </w:rPr>
        <w:t>This might cause the closure of both facility-based and free-standing home health agencies in rural areas and deter urban-based ones from providing services to rural areas (Chen et al. 2020).</w:t>
      </w:r>
    </w:p>
    <w:p w14:paraId="6279160C" w14:textId="073E993D" w:rsidR="000B4268" w:rsidRDefault="000B4268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8"/>
        </w:rPr>
      </w:pPr>
      <w:r>
        <w:rPr>
          <w:color w:val="1D99A0" w:themeColor="accent3" w:themeShade="BF"/>
          <w:sz w:val="24"/>
          <w:szCs w:val="28"/>
        </w:rPr>
        <w:t xml:space="preserve">On March 7, 2022, </w:t>
      </w:r>
      <w:r w:rsidRPr="000B4268">
        <w:rPr>
          <w:color w:val="1D99A0" w:themeColor="accent3" w:themeShade="BF"/>
          <w:sz w:val="24"/>
          <w:szCs w:val="28"/>
        </w:rPr>
        <w:t xml:space="preserve">Colorado House Bill 22-1188, ARPA </w:t>
      </w:r>
      <w:r w:rsidR="00EB7598" w:rsidRPr="000B4268">
        <w:rPr>
          <w:color w:val="1D99A0" w:themeColor="accent3" w:themeShade="BF"/>
          <w:sz w:val="24"/>
          <w:szCs w:val="28"/>
        </w:rPr>
        <w:t>American Rescue Plan Act</w:t>
      </w:r>
      <w:r w:rsidRPr="000B4268">
        <w:rPr>
          <w:color w:val="1D99A0" w:themeColor="accent3" w:themeShade="BF"/>
          <w:sz w:val="24"/>
          <w:szCs w:val="28"/>
        </w:rPr>
        <w:t xml:space="preserve"> Money For Home- And Community-based Services</w:t>
      </w:r>
      <w:r>
        <w:rPr>
          <w:color w:val="1D99A0" w:themeColor="accent3" w:themeShade="BF"/>
          <w:sz w:val="24"/>
          <w:szCs w:val="28"/>
        </w:rPr>
        <w:t xml:space="preserve"> was passed.</w:t>
      </w:r>
    </w:p>
    <w:p w14:paraId="5FB9BA36" w14:textId="1153EB6D" w:rsidR="000B4268" w:rsidRPr="00665F09" w:rsidRDefault="00665F09" w:rsidP="00DE237C">
      <w:pPr>
        <w:pStyle w:val="ListParagraph"/>
        <w:numPr>
          <w:ilvl w:val="1"/>
          <w:numId w:val="2"/>
        </w:numPr>
        <w:jc w:val="both"/>
        <w:rPr>
          <w:color w:val="1D99A0" w:themeColor="accent3" w:themeShade="BF"/>
          <w:sz w:val="24"/>
          <w:szCs w:val="28"/>
        </w:rPr>
      </w:pPr>
      <w:r>
        <w:rPr>
          <w:color w:val="1D99A0" w:themeColor="accent3" w:themeShade="BF"/>
          <w:sz w:val="22"/>
          <w:szCs w:val="24"/>
        </w:rPr>
        <w:t>Designat</w:t>
      </w:r>
      <w:r w:rsidR="00292CA6">
        <w:rPr>
          <w:color w:val="1D99A0" w:themeColor="accent3" w:themeShade="BF"/>
          <w:sz w:val="22"/>
          <w:szCs w:val="24"/>
        </w:rPr>
        <w:t>ed</w:t>
      </w:r>
      <w:r>
        <w:rPr>
          <w:color w:val="1D99A0" w:themeColor="accent3" w:themeShade="BF"/>
          <w:sz w:val="22"/>
          <w:szCs w:val="24"/>
        </w:rPr>
        <w:t xml:space="preserve"> money in the ARPA account</w:t>
      </w:r>
      <w:r w:rsidR="00B37256">
        <w:rPr>
          <w:color w:val="1D99A0" w:themeColor="accent3" w:themeShade="BF"/>
          <w:sz w:val="22"/>
          <w:szCs w:val="24"/>
        </w:rPr>
        <w:t xml:space="preserve"> is</w:t>
      </w:r>
      <w:r w:rsidR="002C19DB">
        <w:rPr>
          <w:color w:val="1D99A0" w:themeColor="accent3" w:themeShade="BF"/>
          <w:sz w:val="22"/>
          <w:szCs w:val="24"/>
        </w:rPr>
        <w:t xml:space="preserve"> to</w:t>
      </w:r>
      <w:r>
        <w:rPr>
          <w:color w:val="1D99A0" w:themeColor="accent3" w:themeShade="BF"/>
          <w:sz w:val="22"/>
          <w:szCs w:val="24"/>
        </w:rPr>
        <w:t xml:space="preserve"> be used for community and home health services.</w:t>
      </w:r>
    </w:p>
    <w:p w14:paraId="00B3ACEA" w14:textId="290AC820" w:rsidR="00665F09" w:rsidRPr="004C776F" w:rsidRDefault="00665F09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8"/>
        </w:rPr>
      </w:pPr>
      <w:r>
        <w:rPr>
          <w:color w:val="1D99A0" w:themeColor="accent3" w:themeShade="BF"/>
          <w:sz w:val="24"/>
          <w:szCs w:val="28"/>
        </w:rPr>
        <w:t>Since the CMS rural add-on payments are ending</w:t>
      </w:r>
      <w:r w:rsidR="00A55911">
        <w:rPr>
          <w:color w:val="1D99A0" w:themeColor="accent3" w:themeShade="BF"/>
          <w:sz w:val="24"/>
          <w:szCs w:val="28"/>
        </w:rPr>
        <w:t xml:space="preserve"> this year</w:t>
      </w:r>
      <w:r>
        <w:rPr>
          <w:color w:val="1D99A0" w:themeColor="accent3" w:themeShade="BF"/>
          <w:sz w:val="24"/>
          <w:szCs w:val="28"/>
        </w:rPr>
        <w:t xml:space="preserve"> Colorado House Bill 22-1188 </w:t>
      </w:r>
      <w:r w:rsidR="00367477">
        <w:rPr>
          <w:color w:val="1D99A0" w:themeColor="accent3" w:themeShade="BF"/>
          <w:sz w:val="24"/>
          <w:szCs w:val="28"/>
        </w:rPr>
        <w:t>needs to be amended</w:t>
      </w:r>
      <w:r w:rsidR="00292CA6">
        <w:rPr>
          <w:color w:val="1D99A0" w:themeColor="accent3" w:themeShade="BF"/>
          <w:sz w:val="24"/>
          <w:szCs w:val="28"/>
        </w:rPr>
        <w:t>.</w:t>
      </w:r>
    </w:p>
    <w:p w14:paraId="2446739D" w14:textId="25C79D9A" w:rsidR="00D94FB8" w:rsidRDefault="00D94FB8" w:rsidP="00D94FB8">
      <w:pPr>
        <w:pStyle w:val="Heading1"/>
        <w:rPr>
          <w:color w:val="1D99A0" w:themeColor="accent3" w:themeShade="BF"/>
          <w:sz w:val="36"/>
          <w:szCs w:val="32"/>
        </w:rPr>
      </w:pPr>
      <w:r w:rsidRPr="003F1FFE">
        <w:rPr>
          <w:color w:val="1D99A0" w:themeColor="accent3" w:themeShade="BF"/>
          <w:sz w:val="36"/>
          <w:szCs w:val="32"/>
        </w:rPr>
        <w:t>Recommendation</w:t>
      </w:r>
      <w:r w:rsidR="0067760E" w:rsidRPr="003F1FFE">
        <w:rPr>
          <w:color w:val="1D99A0" w:themeColor="accent3" w:themeShade="BF"/>
          <w:sz w:val="36"/>
          <w:szCs w:val="32"/>
        </w:rPr>
        <w:t>:</w:t>
      </w:r>
    </w:p>
    <w:p w14:paraId="04A767E8" w14:textId="11D3603A" w:rsidR="005634F3" w:rsidRDefault="005634F3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8"/>
        </w:rPr>
      </w:pPr>
      <w:r>
        <w:rPr>
          <w:color w:val="1D99A0" w:themeColor="accent3" w:themeShade="BF"/>
          <w:sz w:val="24"/>
          <w:szCs w:val="28"/>
        </w:rPr>
        <w:t>Senators on the Health &amp; Human Services Committee place this issue on their agenda and fully research it.</w:t>
      </w:r>
    </w:p>
    <w:p w14:paraId="4A0FD57A" w14:textId="05D5B0B4" w:rsidR="005634F3" w:rsidRDefault="005634F3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8"/>
        </w:rPr>
      </w:pPr>
      <w:r>
        <w:rPr>
          <w:color w:val="1D99A0" w:themeColor="accent3" w:themeShade="BF"/>
          <w:sz w:val="24"/>
          <w:szCs w:val="28"/>
        </w:rPr>
        <w:t>Recruit representatives and fellow Senators to sponsor an</w:t>
      </w:r>
      <w:r w:rsidRPr="00292CA6">
        <w:rPr>
          <w:color w:val="1D99A0" w:themeColor="accent3" w:themeShade="BF"/>
          <w:sz w:val="24"/>
          <w:szCs w:val="28"/>
        </w:rPr>
        <w:t xml:space="preserve"> </w:t>
      </w:r>
      <w:r>
        <w:rPr>
          <w:color w:val="1D99A0" w:themeColor="accent3" w:themeShade="BF"/>
          <w:sz w:val="24"/>
          <w:szCs w:val="28"/>
        </w:rPr>
        <w:t>amendment to Colorado House Bill 22-1188 to dedicate a portion of the funding to support home health agencies that serve rural Medicare beneficiaries.</w:t>
      </w:r>
    </w:p>
    <w:p w14:paraId="751F424C" w14:textId="1F2200EC" w:rsidR="005634F3" w:rsidRPr="005634F3" w:rsidRDefault="005634F3" w:rsidP="00DE237C">
      <w:pPr>
        <w:pStyle w:val="ListParagraph"/>
        <w:numPr>
          <w:ilvl w:val="1"/>
          <w:numId w:val="2"/>
        </w:numPr>
        <w:jc w:val="both"/>
        <w:rPr>
          <w:color w:val="1D99A0" w:themeColor="accent3" w:themeShade="BF"/>
          <w:sz w:val="22"/>
          <w:szCs w:val="24"/>
        </w:rPr>
      </w:pPr>
      <w:r w:rsidRPr="001E5ED9">
        <w:rPr>
          <w:color w:val="1D99A0" w:themeColor="accent3" w:themeShade="BF"/>
          <w:sz w:val="22"/>
          <w:szCs w:val="24"/>
        </w:rPr>
        <w:t>Within the amendment create a committee to approve and monitor the home health agencies receiving funding to ensure that they are spending the money to better serve rural Medicare beneficiaries.</w:t>
      </w:r>
    </w:p>
    <w:p w14:paraId="0E1433F5" w14:textId="5D769F5E" w:rsidR="00C40E94" w:rsidRDefault="00292CA6" w:rsidP="00DE237C">
      <w:pPr>
        <w:pStyle w:val="ListParagraph"/>
        <w:numPr>
          <w:ilvl w:val="0"/>
          <w:numId w:val="2"/>
        </w:numPr>
        <w:jc w:val="both"/>
        <w:rPr>
          <w:color w:val="1D99A0" w:themeColor="accent3" w:themeShade="BF"/>
          <w:sz w:val="24"/>
          <w:szCs w:val="28"/>
        </w:rPr>
      </w:pPr>
      <w:r w:rsidRPr="00292CA6">
        <w:rPr>
          <w:color w:val="1D99A0" w:themeColor="accent3" w:themeShade="BF"/>
          <w:sz w:val="24"/>
          <w:szCs w:val="28"/>
        </w:rPr>
        <w:t>Senators on the Health &amp; Human Services Committe</w:t>
      </w:r>
      <w:r w:rsidR="005634F3">
        <w:rPr>
          <w:color w:val="1D99A0" w:themeColor="accent3" w:themeShade="BF"/>
          <w:sz w:val="24"/>
          <w:szCs w:val="28"/>
        </w:rPr>
        <w:t>e along with representative and fellow Senators present the bill amendment to the House of Representatives.</w:t>
      </w:r>
    </w:p>
    <w:p w14:paraId="2ACCC605" w14:textId="77777777" w:rsidR="00C40E94" w:rsidRPr="00C40E94" w:rsidRDefault="00C40E94" w:rsidP="00C40E94">
      <w:pPr>
        <w:spacing w:line="240" w:lineRule="auto"/>
        <w:ind w:left="360"/>
        <w:rPr>
          <w:color w:val="1D99A0" w:themeColor="accent3" w:themeShade="BF"/>
          <w:sz w:val="24"/>
          <w:szCs w:val="28"/>
        </w:rPr>
      </w:pPr>
    </w:p>
    <w:p w14:paraId="1D4C7F28" w14:textId="77777777" w:rsidR="00DE7F5F" w:rsidRPr="00C40E94" w:rsidRDefault="00DE7F5F" w:rsidP="00304C39">
      <w:pPr>
        <w:spacing w:line="240" w:lineRule="auto"/>
        <w:jc w:val="center"/>
        <w:rPr>
          <w:color w:val="1D99A0" w:themeColor="accent3" w:themeShade="BF"/>
          <w:sz w:val="18"/>
          <w:szCs w:val="20"/>
        </w:rPr>
      </w:pPr>
      <w:r w:rsidRPr="00C40E94">
        <w:rPr>
          <w:color w:val="1D99A0" w:themeColor="accent3" w:themeShade="BF"/>
          <w:sz w:val="18"/>
          <w:szCs w:val="20"/>
        </w:rPr>
        <w:t>References</w:t>
      </w:r>
    </w:p>
    <w:p w14:paraId="1F2602CC" w14:textId="4F87F099" w:rsidR="00DE7F5F" w:rsidRPr="00C40E94" w:rsidRDefault="00DE7F5F" w:rsidP="00304C39">
      <w:pPr>
        <w:spacing w:line="240" w:lineRule="auto"/>
        <w:ind w:left="720" w:hanging="720"/>
        <w:rPr>
          <w:color w:val="1D99A0" w:themeColor="accent3" w:themeShade="BF"/>
          <w:sz w:val="18"/>
          <w:szCs w:val="20"/>
        </w:rPr>
      </w:pPr>
      <w:r w:rsidRPr="00C40E94">
        <w:rPr>
          <w:color w:val="1D99A0" w:themeColor="accent3" w:themeShade="BF"/>
          <w:sz w:val="18"/>
          <w:szCs w:val="20"/>
        </w:rPr>
        <w:t xml:space="preserve">Chen, H., </w:t>
      </w:r>
      <w:proofErr w:type="spellStart"/>
      <w:r w:rsidRPr="00C40E94">
        <w:rPr>
          <w:color w:val="1D99A0" w:themeColor="accent3" w:themeShade="BF"/>
          <w:sz w:val="18"/>
          <w:szCs w:val="20"/>
        </w:rPr>
        <w:t>Landes</w:t>
      </w:r>
      <w:proofErr w:type="spellEnd"/>
      <w:r w:rsidRPr="00C40E94">
        <w:rPr>
          <w:color w:val="1D99A0" w:themeColor="accent3" w:themeShade="BF"/>
          <w:sz w:val="18"/>
          <w:szCs w:val="20"/>
        </w:rPr>
        <w:t xml:space="preserve">, R. D., Schuldt, &amp; Tilford, J. M. (2020). Quality performance of rural and urban home health agencies: implications for rural add-on payment policies. </w:t>
      </w:r>
      <w:r w:rsidRPr="00C40E94">
        <w:rPr>
          <w:i/>
          <w:iCs/>
          <w:color w:val="1D99A0" w:themeColor="accent3" w:themeShade="BF"/>
          <w:sz w:val="18"/>
          <w:szCs w:val="20"/>
        </w:rPr>
        <w:t>The Journal of Rural Health</w:t>
      </w:r>
      <w:r w:rsidRPr="00C40E94">
        <w:rPr>
          <w:color w:val="1D99A0" w:themeColor="accent3" w:themeShade="BF"/>
          <w:sz w:val="18"/>
          <w:szCs w:val="20"/>
        </w:rPr>
        <w:t>, 36, 423-432.</w:t>
      </w:r>
    </w:p>
    <w:p w14:paraId="0B2B088A" w14:textId="454D9243" w:rsidR="00DE7F5F" w:rsidRPr="00C40E94" w:rsidRDefault="00DE7F5F" w:rsidP="00304C39">
      <w:pPr>
        <w:spacing w:line="240" w:lineRule="auto"/>
        <w:ind w:left="720" w:hanging="720"/>
        <w:rPr>
          <w:color w:val="1D99A0" w:themeColor="accent3" w:themeShade="BF"/>
          <w:sz w:val="18"/>
          <w:szCs w:val="20"/>
        </w:rPr>
      </w:pPr>
      <w:r w:rsidRPr="00DE7F5F">
        <w:rPr>
          <w:color w:val="1D99A0" w:themeColor="accent3" w:themeShade="BF"/>
          <w:sz w:val="18"/>
          <w:szCs w:val="20"/>
        </w:rPr>
        <w:t xml:space="preserve">Colorado House Bill 22-1188, ARPA American Rescue Plan Act Money </w:t>
      </w:r>
      <w:proofErr w:type="gramStart"/>
      <w:r w:rsidRPr="00DE7F5F">
        <w:rPr>
          <w:color w:val="1D99A0" w:themeColor="accent3" w:themeShade="BF"/>
          <w:sz w:val="18"/>
          <w:szCs w:val="20"/>
        </w:rPr>
        <w:t>For</w:t>
      </w:r>
      <w:proofErr w:type="gramEnd"/>
      <w:r w:rsidRPr="00DE7F5F">
        <w:rPr>
          <w:color w:val="1D99A0" w:themeColor="accent3" w:themeShade="BF"/>
          <w:sz w:val="18"/>
          <w:szCs w:val="20"/>
        </w:rPr>
        <w:t xml:space="preserve"> Home- And Community-based Services,</w:t>
      </w:r>
      <w:r w:rsidRPr="00C40E94">
        <w:rPr>
          <w:color w:val="1D99A0" w:themeColor="accent3" w:themeShade="BF"/>
          <w:sz w:val="18"/>
          <w:szCs w:val="20"/>
        </w:rPr>
        <w:t xml:space="preserve"> </w:t>
      </w:r>
      <w:r w:rsidRPr="00DE7F5F">
        <w:rPr>
          <w:color w:val="1D99A0" w:themeColor="accent3" w:themeShade="BF"/>
          <w:sz w:val="18"/>
          <w:szCs w:val="20"/>
        </w:rPr>
        <w:t>3/7/2022</w:t>
      </w:r>
      <w:r w:rsidRPr="00C40E94">
        <w:rPr>
          <w:color w:val="1D99A0" w:themeColor="accent3" w:themeShade="BF"/>
          <w:sz w:val="18"/>
          <w:szCs w:val="20"/>
        </w:rPr>
        <w:t>. https://leg.colorado.gov/bills/hb22-1188</w:t>
      </w:r>
    </w:p>
    <w:p w14:paraId="2D260150" w14:textId="4ED8C48D" w:rsidR="00DE7F5F" w:rsidRPr="00C40E94" w:rsidRDefault="008755C1" w:rsidP="00304C39">
      <w:pPr>
        <w:spacing w:line="240" w:lineRule="auto"/>
        <w:ind w:left="720" w:hanging="720"/>
        <w:rPr>
          <w:color w:val="1D99A0" w:themeColor="accent3" w:themeShade="BF"/>
          <w:sz w:val="18"/>
          <w:szCs w:val="20"/>
        </w:rPr>
      </w:pPr>
      <w:r w:rsidRPr="00C40E94">
        <w:rPr>
          <w:color w:val="1D99A0" w:themeColor="accent3" w:themeShade="BF"/>
          <w:sz w:val="18"/>
          <w:szCs w:val="20"/>
        </w:rPr>
        <w:t xml:space="preserve">Colorado Rural Health Center </w:t>
      </w:r>
      <w:proofErr w:type="gramStart"/>
      <w:r w:rsidRPr="00C40E94">
        <w:rPr>
          <w:color w:val="1D99A0" w:themeColor="accent3" w:themeShade="BF"/>
          <w:sz w:val="18"/>
          <w:szCs w:val="20"/>
        </w:rPr>
        <w:t>The</w:t>
      </w:r>
      <w:proofErr w:type="gramEnd"/>
      <w:r w:rsidRPr="00C40E94">
        <w:rPr>
          <w:color w:val="1D99A0" w:themeColor="accent3" w:themeShade="BF"/>
          <w:sz w:val="18"/>
          <w:szCs w:val="20"/>
        </w:rPr>
        <w:t xml:space="preserve"> State Office of Rural Health. (2022). </w:t>
      </w:r>
      <w:r w:rsidRPr="00C40E94">
        <w:rPr>
          <w:i/>
          <w:iCs/>
          <w:color w:val="1D99A0" w:themeColor="accent3" w:themeShade="BF"/>
          <w:sz w:val="18"/>
          <w:szCs w:val="20"/>
        </w:rPr>
        <w:t>Snapshot of rural health in Colorado 2022</w:t>
      </w:r>
      <w:r w:rsidRPr="00C40E94">
        <w:rPr>
          <w:color w:val="1D99A0" w:themeColor="accent3" w:themeShade="BF"/>
          <w:sz w:val="18"/>
          <w:szCs w:val="20"/>
        </w:rPr>
        <w:t xml:space="preserve">. Colorado Rural Health Center </w:t>
      </w:r>
      <w:proofErr w:type="gramStart"/>
      <w:r w:rsidRPr="00C40E94">
        <w:rPr>
          <w:color w:val="1D99A0" w:themeColor="accent3" w:themeShade="BF"/>
          <w:sz w:val="18"/>
          <w:szCs w:val="20"/>
        </w:rPr>
        <w:t>The</w:t>
      </w:r>
      <w:proofErr w:type="gramEnd"/>
      <w:r w:rsidRPr="00C40E94">
        <w:rPr>
          <w:color w:val="1D99A0" w:themeColor="accent3" w:themeShade="BF"/>
          <w:sz w:val="18"/>
          <w:szCs w:val="20"/>
        </w:rPr>
        <w:t xml:space="preserve"> State Office of Rural Health</w:t>
      </w:r>
      <w:r w:rsidR="00304C39" w:rsidRPr="00C40E94">
        <w:rPr>
          <w:color w:val="1D99A0" w:themeColor="accent3" w:themeShade="BF"/>
          <w:sz w:val="18"/>
          <w:szCs w:val="20"/>
        </w:rPr>
        <w:t>. https://coruralhealth.org/snapshot-of-rural-health</w:t>
      </w:r>
    </w:p>
    <w:p w14:paraId="6CF944DD" w14:textId="683B27F7" w:rsidR="00304C39" w:rsidRPr="00C40E94" w:rsidRDefault="00304C39" w:rsidP="00304C39">
      <w:pPr>
        <w:spacing w:line="240" w:lineRule="auto"/>
        <w:ind w:left="720" w:hanging="720"/>
        <w:rPr>
          <w:color w:val="1D99A0" w:themeColor="accent3" w:themeShade="BF"/>
          <w:sz w:val="18"/>
          <w:szCs w:val="20"/>
        </w:rPr>
      </w:pPr>
      <w:r w:rsidRPr="00C40E94">
        <w:rPr>
          <w:color w:val="1D99A0" w:themeColor="accent3" w:themeShade="BF"/>
          <w:sz w:val="18"/>
          <w:szCs w:val="20"/>
        </w:rPr>
        <w:t xml:space="preserve">Frogner, B. K., </w:t>
      </w:r>
      <w:proofErr w:type="spellStart"/>
      <w:r w:rsidRPr="00C40E94">
        <w:rPr>
          <w:color w:val="1D99A0" w:themeColor="accent3" w:themeShade="BF"/>
          <w:sz w:val="18"/>
          <w:szCs w:val="20"/>
        </w:rPr>
        <w:t>Mroz</w:t>
      </w:r>
      <w:proofErr w:type="spellEnd"/>
      <w:r w:rsidRPr="00C40E94">
        <w:rPr>
          <w:color w:val="1D99A0" w:themeColor="accent3" w:themeShade="BF"/>
          <w:sz w:val="18"/>
          <w:szCs w:val="20"/>
        </w:rPr>
        <w:t xml:space="preserve">, T. M., &amp; Patterson, D. G. (2020, June). The impact of Medicare’s rural add-on payments on supply of home health agencies serving rural counties. </w:t>
      </w:r>
      <w:r w:rsidRPr="00C40E94">
        <w:rPr>
          <w:i/>
          <w:iCs/>
          <w:color w:val="1D99A0" w:themeColor="accent3" w:themeShade="BF"/>
          <w:sz w:val="18"/>
          <w:szCs w:val="20"/>
        </w:rPr>
        <w:t>Health affairs (Project Hope)</w:t>
      </w:r>
      <w:r w:rsidRPr="00C40E94">
        <w:rPr>
          <w:color w:val="1D99A0" w:themeColor="accent3" w:themeShade="BF"/>
          <w:sz w:val="18"/>
          <w:szCs w:val="20"/>
        </w:rPr>
        <w:t>, 39(6), 949-957.</w:t>
      </w:r>
    </w:p>
    <w:p w14:paraId="40791635" w14:textId="6FF086CC" w:rsidR="00304C39" w:rsidRPr="00C40E94" w:rsidRDefault="00304C39" w:rsidP="00304C39">
      <w:pPr>
        <w:spacing w:line="240" w:lineRule="auto"/>
        <w:ind w:left="720" w:hanging="720"/>
        <w:rPr>
          <w:color w:val="1D99A0" w:themeColor="accent3" w:themeShade="BF"/>
          <w:sz w:val="18"/>
          <w:szCs w:val="20"/>
        </w:rPr>
      </w:pPr>
      <w:r w:rsidRPr="00C40E94">
        <w:rPr>
          <w:color w:val="1D99A0" w:themeColor="accent3" w:themeShade="BF"/>
          <w:sz w:val="18"/>
          <w:szCs w:val="20"/>
        </w:rPr>
        <w:t xml:space="preserve">Gozalo, P. L., </w:t>
      </w:r>
      <w:proofErr w:type="spellStart"/>
      <w:r w:rsidRPr="00C40E94">
        <w:rPr>
          <w:color w:val="1D99A0" w:themeColor="accent3" w:themeShade="BF"/>
          <w:sz w:val="18"/>
          <w:szCs w:val="20"/>
        </w:rPr>
        <w:t>Loomer</w:t>
      </w:r>
      <w:proofErr w:type="spellEnd"/>
      <w:r w:rsidRPr="00C40E94">
        <w:rPr>
          <w:color w:val="1D99A0" w:themeColor="accent3" w:themeShade="BF"/>
          <w:sz w:val="18"/>
          <w:szCs w:val="20"/>
        </w:rPr>
        <w:t xml:space="preserve">, L., </w:t>
      </w:r>
      <w:proofErr w:type="spellStart"/>
      <w:r w:rsidRPr="00C40E94">
        <w:rPr>
          <w:color w:val="1D99A0" w:themeColor="accent3" w:themeShade="BF"/>
          <w:sz w:val="18"/>
          <w:szCs w:val="20"/>
        </w:rPr>
        <w:t>Mor</w:t>
      </w:r>
      <w:proofErr w:type="spellEnd"/>
      <w:r w:rsidRPr="00C40E94">
        <w:rPr>
          <w:color w:val="1D99A0" w:themeColor="accent3" w:themeShade="BF"/>
          <w:sz w:val="18"/>
          <w:szCs w:val="20"/>
        </w:rPr>
        <w:t xml:space="preserve">, V., </w:t>
      </w:r>
      <w:proofErr w:type="spellStart"/>
      <w:r w:rsidRPr="00C40E94">
        <w:rPr>
          <w:color w:val="1D99A0" w:themeColor="accent3" w:themeShade="BF"/>
          <w:sz w:val="18"/>
          <w:szCs w:val="20"/>
        </w:rPr>
        <w:t>Mroz</w:t>
      </w:r>
      <w:proofErr w:type="spellEnd"/>
      <w:r w:rsidRPr="00C40E94">
        <w:rPr>
          <w:color w:val="1D99A0" w:themeColor="accent3" w:themeShade="BF"/>
          <w:sz w:val="18"/>
          <w:szCs w:val="20"/>
        </w:rPr>
        <w:t xml:space="preserve">, T. M., &amp; Rahman, M. (2020, March). Do higher payments increase access to post-acute home health care for rural Medicare </w:t>
      </w:r>
      <w:proofErr w:type="gramStart"/>
      <w:r w:rsidRPr="00C40E94">
        <w:rPr>
          <w:color w:val="1D99A0" w:themeColor="accent3" w:themeShade="BF"/>
          <w:sz w:val="18"/>
          <w:szCs w:val="20"/>
        </w:rPr>
        <w:t>beneficiaries?.</w:t>
      </w:r>
      <w:proofErr w:type="gramEnd"/>
      <w:r w:rsidRPr="00C40E94">
        <w:rPr>
          <w:color w:val="1D99A0" w:themeColor="accent3" w:themeShade="BF"/>
          <w:sz w:val="18"/>
          <w:szCs w:val="20"/>
        </w:rPr>
        <w:t xml:space="preserve"> </w:t>
      </w:r>
      <w:r w:rsidRPr="00C40E94">
        <w:rPr>
          <w:i/>
          <w:iCs/>
          <w:color w:val="1D99A0" w:themeColor="accent3" w:themeShade="BF"/>
          <w:sz w:val="18"/>
          <w:szCs w:val="20"/>
        </w:rPr>
        <w:t>Journal of the American Geriatrics Society</w:t>
      </w:r>
      <w:r w:rsidRPr="00C40E94">
        <w:rPr>
          <w:color w:val="1D99A0" w:themeColor="accent3" w:themeShade="BF"/>
          <w:sz w:val="18"/>
          <w:szCs w:val="20"/>
        </w:rPr>
        <w:t>, 68(3), 663-664.</w:t>
      </w:r>
    </w:p>
    <w:sectPr w:rsidR="00304C39" w:rsidRPr="00C40E94" w:rsidSect="004947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51147"/>
    <w:multiLevelType w:val="hybridMultilevel"/>
    <w:tmpl w:val="EB4EA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2925BE"/>
    <w:multiLevelType w:val="hybridMultilevel"/>
    <w:tmpl w:val="3C807D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C6612"/>
    <w:multiLevelType w:val="hybridMultilevel"/>
    <w:tmpl w:val="715430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1269813">
    <w:abstractNumId w:val="2"/>
  </w:num>
  <w:num w:numId="2" w16cid:durableId="225915744">
    <w:abstractNumId w:val="0"/>
  </w:num>
  <w:num w:numId="3" w16cid:durableId="1899708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082"/>
    <w:rsid w:val="0000274D"/>
    <w:rsid w:val="00014A20"/>
    <w:rsid w:val="00023D40"/>
    <w:rsid w:val="00046EF9"/>
    <w:rsid w:val="00050B98"/>
    <w:rsid w:val="00053E86"/>
    <w:rsid w:val="00066188"/>
    <w:rsid w:val="000B4268"/>
    <w:rsid w:val="000E24E0"/>
    <w:rsid w:val="000F4597"/>
    <w:rsid w:val="00170C4E"/>
    <w:rsid w:val="001915EC"/>
    <w:rsid w:val="001E5ED9"/>
    <w:rsid w:val="00203793"/>
    <w:rsid w:val="002412F7"/>
    <w:rsid w:val="00267F72"/>
    <w:rsid w:val="00275D27"/>
    <w:rsid w:val="00276A84"/>
    <w:rsid w:val="00292CA6"/>
    <w:rsid w:val="002B3BE1"/>
    <w:rsid w:val="002C19DB"/>
    <w:rsid w:val="002E4586"/>
    <w:rsid w:val="00304C39"/>
    <w:rsid w:val="003237E1"/>
    <w:rsid w:val="00327B58"/>
    <w:rsid w:val="00352D76"/>
    <w:rsid w:val="0036686C"/>
    <w:rsid w:val="00367477"/>
    <w:rsid w:val="00383848"/>
    <w:rsid w:val="00391F5A"/>
    <w:rsid w:val="003F1FFE"/>
    <w:rsid w:val="00457159"/>
    <w:rsid w:val="0046311C"/>
    <w:rsid w:val="00465ED3"/>
    <w:rsid w:val="0047786D"/>
    <w:rsid w:val="0049038E"/>
    <w:rsid w:val="0049473A"/>
    <w:rsid w:val="004C776F"/>
    <w:rsid w:val="004D6806"/>
    <w:rsid w:val="004D7D24"/>
    <w:rsid w:val="005634F3"/>
    <w:rsid w:val="00571161"/>
    <w:rsid w:val="00571217"/>
    <w:rsid w:val="00594069"/>
    <w:rsid w:val="006373BA"/>
    <w:rsid w:val="00663CFE"/>
    <w:rsid w:val="00665F09"/>
    <w:rsid w:val="0067760E"/>
    <w:rsid w:val="006B315C"/>
    <w:rsid w:val="006B346D"/>
    <w:rsid w:val="00756EFA"/>
    <w:rsid w:val="007576E3"/>
    <w:rsid w:val="007A184D"/>
    <w:rsid w:val="007A1C7B"/>
    <w:rsid w:val="007A67FC"/>
    <w:rsid w:val="007E4C53"/>
    <w:rsid w:val="00802D5E"/>
    <w:rsid w:val="00813E06"/>
    <w:rsid w:val="008755C1"/>
    <w:rsid w:val="008805F7"/>
    <w:rsid w:val="00894731"/>
    <w:rsid w:val="008D2982"/>
    <w:rsid w:val="0092490B"/>
    <w:rsid w:val="0093659E"/>
    <w:rsid w:val="009640FC"/>
    <w:rsid w:val="00977EA9"/>
    <w:rsid w:val="009A2A93"/>
    <w:rsid w:val="00A23E00"/>
    <w:rsid w:val="00A42C47"/>
    <w:rsid w:val="00A55911"/>
    <w:rsid w:val="00A92082"/>
    <w:rsid w:val="00AA445D"/>
    <w:rsid w:val="00AD5FAE"/>
    <w:rsid w:val="00B139A8"/>
    <w:rsid w:val="00B30869"/>
    <w:rsid w:val="00B37256"/>
    <w:rsid w:val="00B428A7"/>
    <w:rsid w:val="00B46ECD"/>
    <w:rsid w:val="00B576FB"/>
    <w:rsid w:val="00B62E8D"/>
    <w:rsid w:val="00B81010"/>
    <w:rsid w:val="00B95A84"/>
    <w:rsid w:val="00BC04D9"/>
    <w:rsid w:val="00BD156D"/>
    <w:rsid w:val="00BD3CED"/>
    <w:rsid w:val="00C00875"/>
    <w:rsid w:val="00C37F34"/>
    <w:rsid w:val="00C40E94"/>
    <w:rsid w:val="00C66549"/>
    <w:rsid w:val="00CB29C8"/>
    <w:rsid w:val="00CF7ECB"/>
    <w:rsid w:val="00D03948"/>
    <w:rsid w:val="00D5087A"/>
    <w:rsid w:val="00D5439D"/>
    <w:rsid w:val="00D94FB8"/>
    <w:rsid w:val="00DB5F9F"/>
    <w:rsid w:val="00DC259F"/>
    <w:rsid w:val="00DC30C9"/>
    <w:rsid w:val="00DC61C1"/>
    <w:rsid w:val="00DE237C"/>
    <w:rsid w:val="00DE7F5F"/>
    <w:rsid w:val="00E74DAE"/>
    <w:rsid w:val="00E83E5D"/>
    <w:rsid w:val="00E86A7E"/>
    <w:rsid w:val="00E96EFB"/>
    <w:rsid w:val="00EB7598"/>
    <w:rsid w:val="00ED0958"/>
    <w:rsid w:val="00F05D7B"/>
    <w:rsid w:val="00F237E3"/>
    <w:rsid w:val="00F2632A"/>
    <w:rsid w:val="00F35E13"/>
    <w:rsid w:val="00F47ECE"/>
    <w:rsid w:val="00F9253B"/>
    <w:rsid w:val="00F969F4"/>
    <w:rsid w:val="00FA7ED7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114AB"/>
  <w15:chartTrackingRefBased/>
  <w15:docId w15:val="{0B9D3E7F-C2A9-DE47-A20D-A4D6E80C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082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08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CADE4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082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1CADE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082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485A4" w:themeColor="text2"/>
      <w:spacing w:val="14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082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0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0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1CADE4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0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0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0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ersonalName">
    <w:name w:val="Personal Name"/>
    <w:basedOn w:val="Title"/>
    <w:qFormat/>
    <w:rsid w:val="00A92082"/>
    <w:rPr>
      <w:b/>
      <w:caps/>
      <w:color w:val="0000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9208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485A4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92082"/>
    <w:rPr>
      <w:rFonts w:asciiTheme="majorHAnsi" w:eastAsiaTheme="majorEastAsia" w:hAnsiTheme="majorHAnsi" w:cstheme="majorBidi"/>
      <w:color w:val="1485A4" w:themeColor="text2"/>
      <w:spacing w:val="30"/>
      <w:kern w:val="28"/>
      <w:sz w:val="96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A92082"/>
    <w:rPr>
      <w:rFonts w:asciiTheme="majorHAnsi" w:eastAsiaTheme="majorEastAsia" w:hAnsiTheme="majorHAnsi" w:cstheme="majorBidi"/>
      <w:bCs/>
      <w:color w:val="1CADE4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082"/>
    <w:rPr>
      <w:rFonts w:eastAsiaTheme="majorEastAsia" w:cstheme="majorBidi"/>
      <w:b/>
      <w:bCs/>
      <w:color w:val="1CADE4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082"/>
    <w:rPr>
      <w:rFonts w:asciiTheme="majorHAnsi" w:eastAsiaTheme="majorEastAsia" w:hAnsiTheme="majorHAnsi" w:cstheme="majorBidi"/>
      <w:bCs/>
      <w:color w:val="1485A4" w:themeColor="text2"/>
      <w:spacing w:val="14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082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082"/>
    <w:rPr>
      <w:rFonts w:asciiTheme="majorHAnsi" w:eastAsiaTheme="majorEastAsia" w:hAnsiTheme="majorHAnsi" w:cstheme="majorBidi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082"/>
    <w:rPr>
      <w:rFonts w:asciiTheme="majorHAnsi" w:eastAsiaTheme="majorEastAsia" w:hAnsiTheme="majorHAnsi" w:cstheme="majorBidi"/>
      <w:iCs/>
      <w:color w:val="1CADE4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082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08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08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92082"/>
    <w:pPr>
      <w:spacing w:line="240" w:lineRule="auto"/>
    </w:pPr>
    <w:rPr>
      <w:rFonts w:asciiTheme="majorHAnsi" w:eastAsiaTheme="minorEastAsia" w:hAnsiTheme="majorHAnsi"/>
      <w:bCs/>
      <w:smallCaps/>
      <w:color w:val="1485A4" w:themeColor="text2"/>
      <w:spacing w:val="6"/>
      <w:sz w:val="22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082"/>
    <w:pPr>
      <w:numPr>
        <w:ilvl w:val="1"/>
      </w:numPr>
    </w:pPr>
    <w:rPr>
      <w:rFonts w:eastAsiaTheme="majorEastAsia" w:cstheme="majorBidi"/>
      <w:iCs/>
      <w:color w:val="1485A4" w:themeColor="text2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92082"/>
    <w:rPr>
      <w:rFonts w:eastAsiaTheme="majorEastAsia" w:cstheme="majorBidi"/>
      <w:iCs/>
      <w:color w:val="1485A4" w:themeColor="text2"/>
      <w:sz w:val="40"/>
      <w:szCs w:val="24"/>
    </w:rPr>
  </w:style>
  <w:style w:type="character" w:styleId="Strong">
    <w:name w:val="Strong"/>
    <w:basedOn w:val="DefaultParagraphFont"/>
    <w:uiPriority w:val="22"/>
    <w:qFormat/>
    <w:rsid w:val="00A92082"/>
    <w:rPr>
      <w:b w:val="0"/>
      <w:bCs/>
      <w:i/>
      <w:color w:val="1485A4" w:themeColor="text2"/>
    </w:rPr>
  </w:style>
  <w:style w:type="character" w:styleId="Emphasis">
    <w:name w:val="Emphasis"/>
    <w:basedOn w:val="DefaultParagraphFont"/>
    <w:uiPriority w:val="20"/>
    <w:qFormat/>
    <w:rsid w:val="00A92082"/>
    <w:rPr>
      <w:b/>
      <w:i/>
      <w:iCs/>
    </w:rPr>
  </w:style>
  <w:style w:type="paragraph" w:styleId="NoSpacing">
    <w:name w:val="No Spacing"/>
    <w:link w:val="NoSpacingChar"/>
    <w:uiPriority w:val="1"/>
    <w:qFormat/>
    <w:rsid w:val="00A9208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A92082"/>
  </w:style>
  <w:style w:type="paragraph" w:styleId="ListParagraph">
    <w:name w:val="List Paragraph"/>
    <w:basedOn w:val="Normal"/>
    <w:uiPriority w:val="34"/>
    <w:qFormat/>
    <w:rsid w:val="00A92082"/>
    <w:pPr>
      <w:spacing w:line="240" w:lineRule="auto"/>
      <w:ind w:left="720" w:hanging="288"/>
      <w:contextualSpacing/>
    </w:pPr>
    <w:rPr>
      <w:color w:val="1485A4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A92082"/>
    <w:pPr>
      <w:spacing w:after="0" w:line="360" w:lineRule="auto"/>
      <w:jc w:val="center"/>
    </w:pPr>
    <w:rPr>
      <w:rFonts w:eastAsiaTheme="minorEastAsia"/>
      <w:b/>
      <w:i/>
      <w:iCs/>
      <w:color w:val="1CADE4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A92082"/>
    <w:rPr>
      <w:rFonts w:eastAsiaTheme="minorEastAsia"/>
      <w:b/>
      <w:i/>
      <w:iCs/>
      <w:color w:val="1CADE4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082"/>
    <w:pPr>
      <w:pBdr>
        <w:top w:val="single" w:sz="36" w:space="8" w:color="1CADE4" w:themeColor="accent1"/>
        <w:left w:val="single" w:sz="36" w:space="8" w:color="1CADE4" w:themeColor="accent1"/>
        <w:bottom w:val="single" w:sz="36" w:space="8" w:color="1CADE4" w:themeColor="accent1"/>
        <w:right w:val="single" w:sz="36" w:space="8" w:color="1CADE4" w:themeColor="accent1"/>
      </w:pBdr>
      <w:shd w:val="clear" w:color="auto" w:fill="1CADE4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082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1CADE4" w:themeFill="accent1"/>
    </w:rPr>
  </w:style>
  <w:style w:type="character" w:styleId="SubtleEmphasis">
    <w:name w:val="Subtle Emphasis"/>
    <w:basedOn w:val="DefaultParagraphFont"/>
    <w:uiPriority w:val="19"/>
    <w:qFormat/>
    <w:rsid w:val="00A92082"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sid w:val="00A92082"/>
    <w:rPr>
      <w:b/>
      <w:bCs/>
      <w:i/>
      <w:iCs/>
      <w:color w:val="1CADE4" w:themeColor="accent1"/>
    </w:rPr>
  </w:style>
  <w:style w:type="character" w:styleId="SubtleReference">
    <w:name w:val="Subtle Reference"/>
    <w:basedOn w:val="DefaultParagraphFont"/>
    <w:uiPriority w:val="31"/>
    <w:qFormat/>
    <w:rsid w:val="00A92082"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sid w:val="00A92082"/>
    <w:rPr>
      <w:b w:val="0"/>
      <w:bCs/>
      <w:smallCaps/>
      <w:color w:val="1CADE4" w:themeColor="accent1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92082"/>
    <w:rPr>
      <w:b/>
      <w:bCs/>
      <w:caps/>
      <w:smallCaps w:val="0"/>
      <w:color w:val="1485A4" w:themeColor="text2"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92082"/>
    <w:pPr>
      <w:spacing w:before="480" w:line="264" w:lineRule="auto"/>
      <w:outlineLvl w:val="9"/>
    </w:pPr>
    <w:rPr>
      <w:b/>
    </w:rPr>
  </w:style>
  <w:style w:type="character" w:styleId="Hyperlink">
    <w:name w:val="Hyperlink"/>
    <w:basedOn w:val="DefaultParagraphFont"/>
    <w:uiPriority w:val="99"/>
    <w:unhideWhenUsed/>
    <w:rsid w:val="00665F09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F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Savon">
  <a:themeElements>
    <a:clrScheme name="Savon">
      <a:dk1>
        <a:sysClr val="windowText" lastClr="000000"/>
      </a:dk1>
      <a:lt1>
        <a:sysClr val="window" lastClr="FFFFFF"/>
      </a:lt1>
      <a:dk2>
        <a:srgbClr val="1485A4"/>
      </a:dk2>
      <a:lt2>
        <a:srgbClr val="E3DED1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F49100"/>
      </a:hlink>
      <a:folHlink>
        <a:srgbClr val="739D9B"/>
      </a:folHlink>
    </a:clrScheme>
    <a:fontScheme name="Savon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avon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satMod val="105000"/>
                <a:lumMod val="105000"/>
              </a:schemeClr>
            </a:gs>
            <a:gs pos="100000">
              <a:schemeClr val="phClr">
                <a:tint val="65000"/>
                <a:satMod val="100000"/>
                <a:lumMod val="100000"/>
              </a:schemeClr>
            </a:gs>
            <a:gs pos="100000">
              <a:schemeClr val="phClr">
                <a:tint val="70000"/>
                <a:satMod val="10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0000"/>
                <a:lumMod val="100000"/>
              </a:schemeClr>
            </a:gs>
            <a:gs pos="50000">
              <a:schemeClr val="phClr">
                <a:shade val="99000"/>
                <a:satMod val="105000"/>
                <a:lumMod val="100000"/>
              </a:schemeClr>
            </a:gs>
            <a:gs pos="100000">
              <a:schemeClr val="phClr">
                <a:shade val="98000"/>
                <a:satMod val="105000"/>
                <a:lumMod val="100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270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  <a:scene3d>
            <a:camera prst="orthographicFront">
              <a:rot lat="0" lon="0" rev="0"/>
            </a:camera>
            <a:lightRig rig="flat" dir="tl">
              <a:rot lat="0" lon="0" rev="4200000"/>
            </a:lightRig>
          </a:scene3d>
          <a:sp3d prstMaterial="flat">
            <a:bevelT w="50800" h="6350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92000"/>
                <a:satMod val="160000"/>
              </a:schemeClr>
            </a:gs>
            <a:gs pos="77000">
              <a:schemeClr val="phClr">
                <a:tint val="100000"/>
                <a:shade val="73000"/>
                <a:satMod val="155000"/>
              </a:schemeClr>
            </a:gs>
            <a:gs pos="100000">
              <a:schemeClr val="phClr">
                <a:tint val="100000"/>
                <a:shade val="67000"/>
                <a:satMod val="145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2000"/>
                <a:satMod val="115000"/>
              </a:schemeClr>
            </a:duotone>
          </a:blip>
          <a:tile tx="0" ty="0" sx="60000" sy="6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avon" id="{1306E473-ED32-493B-A2D0-240A757EDD34}" vid="{C20BADFE-D095-436F-9677-9264042809F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Daley</dc:creator>
  <cp:keywords/>
  <dc:description/>
  <cp:lastModifiedBy>Jennifer Daley</cp:lastModifiedBy>
  <cp:revision>48</cp:revision>
  <dcterms:created xsi:type="dcterms:W3CDTF">2022-07-22T20:51:00Z</dcterms:created>
  <dcterms:modified xsi:type="dcterms:W3CDTF">2022-08-10T23:36:00Z</dcterms:modified>
</cp:coreProperties>
</file>